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T-Test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10:45:24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 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the cases with no missing or out-of-range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T-TEST</w:t>
              <w:br/>
              <w:t>/TESTVAL=0</w:t>
              <w:br/>
              <w:t>/MISSING=ANALYSIS</w:t>
              <w:br/>
              <w:t>/VARIABLES=RouteID DistanceTraveled</w:t>
              <w:br/>
              <w:t>/ES DISPLAY(TRUE)</w:t>
              <w:br/>
              <w:t>/CRITERIA=CI(.95).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[DataSet1] </w:t>
        <w:cr/>
      </w:r>
    </w:p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513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Statistics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 Mean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4,093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1,883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411"/>
        <w:gridCol w:w="1411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Significance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One-Sided p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Two-Sided p</w:t>
            </w:r>
          </w:p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24,556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45,909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of the Difference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92,43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108,57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82,74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90,17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Effect Sizes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Standardizer</w:t>
            </w:r>
            <w:r>
              <w:rPr>
                <w:vertAlign w:val="superscript"/>
              </w:rPr>
              <w:t>a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58,098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3,593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3,579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The denominator used in estimating the effect sizes.</w:t>
              <w:br/>
              <w:t>Cohen's d uses the sample standard deviation.</w:t>
              <w:br/>
              <w:t>Hedges' correction uses the sample standard deviation, plus a correction factor.</w:t>
              <w:br/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2DBAD2D3-A6BE-44C0-93CA-700DEAAB0A73}"/>
</file>

<file path=customXml/itemProps2.xml><?xml version="1.0" encoding="utf-8"?>
<ds:datastoreItem xmlns:ds="http://schemas.openxmlformats.org/officeDocument/2006/customXml" ds:itemID="{86C04EF4-7A0C-4F1E-B9C4-3A53D752777F}"/>
</file>

<file path=customXml/itemProps3.xml><?xml version="1.0" encoding="utf-8"?>
<ds:datastoreItem xmlns:ds="http://schemas.openxmlformats.org/officeDocument/2006/customXml" ds:itemID="{DA55CDFB-5228-4783-B45E-FED43DC39387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2024-10-16T08:47:47Z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